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C5A" w:rsidRPr="002D037E" w:rsidRDefault="00050B4B">
      <w:pPr>
        <w:pStyle w:val="ColorfulList-Accent11"/>
        <w:spacing w:after="440"/>
        <w:ind w:left="0"/>
        <w:jc w:val="center"/>
        <w:rPr>
          <w:b/>
          <w:bCs/>
          <w:i/>
          <w:iCs/>
        </w:rPr>
      </w:pPr>
      <w:r w:rsidRPr="002D037E">
        <w:rPr>
          <w:rFonts w:cs="Times New Roman"/>
          <w:b/>
          <w:sz w:val="32"/>
          <w:szCs w:val="32"/>
        </w:rPr>
        <w:t xml:space="preserve">Fungal biodiversity: a tremendous resource for </w:t>
      </w:r>
      <w:proofErr w:type="spellStart"/>
      <w:r w:rsidRPr="002D037E">
        <w:rPr>
          <w:rFonts w:cs="Times New Roman"/>
          <w:b/>
          <w:sz w:val="32"/>
          <w:szCs w:val="32"/>
        </w:rPr>
        <w:t>CAZymes</w:t>
      </w:r>
      <w:proofErr w:type="spellEnd"/>
      <w:r w:rsidRPr="002D037E">
        <w:rPr>
          <w:rFonts w:cs="Times New Roman"/>
          <w:b/>
          <w:sz w:val="32"/>
          <w:szCs w:val="32"/>
        </w:rPr>
        <w:t xml:space="preserve"> discovery</w:t>
      </w:r>
      <w:bookmarkStart w:id="0" w:name="_GoBack"/>
      <w:bookmarkEnd w:id="0"/>
    </w:p>
    <w:p w:rsidR="001A5C5A" w:rsidRPr="00050B4B" w:rsidRDefault="00050B4B">
      <w:pPr>
        <w:pStyle w:val="Standa"/>
        <w:spacing w:before="240" w:after="240"/>
        <w:jc w:val="center"/>
        <w:rPr>
          <w:b/>
          <w:bCs/>
          <w:lang w:val="fr-FR"/>
        </w:rPr>
      </w:pPr>
      <w:r w:rsidRPr="00050B4B">
        <w:rPr>
          <w:b/>
          <w:bCs/>
          <w:u w:val="single"/>
          <w:lang w:val="fr-FR"/>
        </w:rPr>
        <w:t xml:space="preserve">Jean-Guy </w:t>
      </w:r>
      <w:proofErr w:type="spellStart"/>
      <w:r w:rsidRPr="00050B4B">
        <w:rPr>
          <w:b/>
          <w:bCs/>
          <w:u w:val="single"/>
          <w:lang w:val="fr-FR"/>
        </w:rPr>
        <w:t>Berrin</w:t>
      </w:r>
      <w:proofErr w:type="spellEnd"/>
    </w:p>
    <w:p w:rsidR="001A5C5A" w:rsidRPr="00050B4B" w:rsidRDefault="00050B4B">
      <w:pPr>
        <w:pStyle w:val="Standa"/>
        <w:jc w:val="center"/>
        <w:rPr>
          <w:i/>
          <w:iCs/>
          <w:lang w:val="fr-FR"/>
        </w:rPr>
      </w:pPr>
      <w:r w:rsidRPr="00050B4B">
        <w:rPr>
          <w:i/>
          <w:iCs/>
          <w:lang w:val="fr-FR"/>
        </w:rPr>
        <w:t xml:space="preserve">INRA, Aix Marseille </w:t>
      </w:r>
      <w:proofErr w:type="spellStart"/>
      <w:r w:rsidRPr="00050B4B">
        <w:rPr>
          <w:i/>
          <w:iCs/>
          <w:lang w:val="fr-FR"/>
        </w:rPr>
        <w:t>University</w:t>
      </w:r>
      <w:proofErr w:type="spellEnd"/>
      <w:r w:rsidRPr="00050B4B">
        <w:rPr>
          <w:i/>
          <w:iCs/>
          <w:lang w:val="fr-FR"/>
        </w:rPr>
        <w:t>, Biodiversité et Biotechnologie Fongiques (BBF), Marseille, France</w:t>
      </w:r>
      <w:r w:rsidR="006F6215" w:rsidRPr="00050B4B">
        <w:rPr>
          <w:i/>
          <w:iCs/>
          <w:lang w:val="fr-FR"/>
        </w:rPr>
        <w:t>.</w:t>
      </w:r>
    </w:p>
    <w:p w:rsidR="00050B4B" w:rsidRPr="00050B4B" w:rsidRDefault="006F6215">
      <w:pPr>
        <w:pStyle w:val="Standa"/>
        <w:spacing w:after="480"/>
        <w:jc w:val="center"/>
        <w:rPr>
          <w:i/>
          <w:iCs/>
          <w:lang w:val="fr-FR"/>
        </w:rPr>
      </w:pPr>
      <w:r w:rsidRPr="00050B4B">
        <w:rPr>
          <w:i/>
          <w:iCs/>
          <w:lang w:val="fr-FR"/>
        </w:rPr>
        <w:t xml:space="preserve">E-mail: </w:t>
      </w:r>
      <w:hyperlink r:id="rId6" w:history="1">
        <w:r w:rsidR="00050B4B" w:rsidRPr="006D791B">
          <w:rPr>
            <w:rStyle w:val="Lienhypertexte"/>
            <w:i/>
            <w:iCs/>
            <w:lang w:val="fr-FR"/>
          </w:rPr>
          <w:t>jean-guy.berrin@inra.fr</w:t>
        </w:r>
      </w:hyperlink>
    </w:p>
    <w:p w:rsidR="001A5C5A" w:rsidRDefault="006F6215">
      <w:pPr>
        <w:pStyle w:val="Abstract"/>
        <w:spacing w:before="100" w:after="100"/>
        <w:ind w:left="0" w:right="17"/>
        <w:rPr>
          <w:sz w:val="24"/>
          <w:szCs w:val="24"/>
        </w:rPr>
      </w:pPr>
      <w:r>
        <w:rPr>
          <w:b/>
          <w:bCs/>
          <w:sz w:val="24"/>
          <w:szCs w:val="24"/>
        </w:rPr>
        <w:t>Keywords:</w:t>
      </w:r>
      <w:r>
        <w:rPr>
          <w:sz w:val="24"/>
          <w:szCs w:val="24"/>
        </w:rPr>
        <w:t xml:space="preserve"> </w:t>
      </w:r>
      <w:r w:rsidR="00050B4B">
        <w:rPr>
          <w:rFonts w:eastAsiaTheme="minorHAnsi" w:cs="Times New Roman"/>
          <w:color w:val="auto"/>
          <w:sz w:val="24"/>
          <w:szCs w:val="24"/>
        </w:rPr>
        <w:t xml:space="preserve">filamentous fungi, biodiversity, </w:t>
      </w:r>
      <w:proofErr w:type="spellStart"/>
      <w:r w:rsidR="00050B4B">
        <w:rPr>
          <w:rFonts w:eastAsiaTheme="minorHAnsi" w:cs="Times New Roman"/>
          <w:color w:val="auto"/>
          <w:sz w:val="24"/>
          <w:szCs w:val="24"/>
        </w:rPr>
        <w:t>lignocellulosic</w:t>
      </w:r>
      <w:proofErr w:type="spellEnd"/>
      <w:r w:rsidR="00050B4B">
        <w:rPr>
          <w:rFonts w:eastAsiaTheme="minorHAnsi" w:cs="Times New Roman"/>
          <w:color w:val="auto"/>
          <w:sz w:val="24"/>
          <w:szCs w:val="24"/>
        </w:rPr>
        <w:t xml:space="preserve"> biomass, cellulose, </w:t>
      </w:r>
      <w:proofErr w:type="spellStart"/>
      <w:r w:rsidR="00050B4B">
        <w:rPr>
          <w:rFonts w:eastAsiaTheme="minorHAnsi" w:cs="Times New Roman"/>
          <w:color w:val="auto"/>
          <w:sz w:val="24"/>
          <w:szCs w:val="24"/>
        </w:rPr>
        <w:t>CAZymes</w:t>
      </w:r>
      <w:proofErr w:type="spellEnd"/>
      <w:r w:rsidR="00050B4B">
        <w:rPr>
          <w:rFonts w:eastAsiaTheme="minorHAnsi" w:cs="Times New Roman"/>
          <w:color w:val="auto"/>
          <w:sz w:val="24"/>
          <w:szCs w:val="24"/>
        </w:rPr>
        <w:t>, LPMOs</w:t>
      </w:r>
      <w:r>
        <w:rPr>
          <w:sz w:val="24"/>
          <w:szCs w:val="24"/>
        </w:rPr>
        <w:t>.</w:t>
      </w:r>
    </w:p>
    <w:p w:rsidR="00050B4B" w:rsidRPr="00891E46" w:rsidRDefault="00050B4B" w:rsidP="00050B4B">
      <w:pPr>
        <w:jc w:val="both"/>
        <w:rPr>
          <w:rFonts w:asciiTheme="majorBidi" w:hAnsiTheme="majorBidi" w:cstheme="majorBidi"/>
        </w:rPr>
      </w:pPr>
      <w:r w:rsidRPr="00891E46">
        <w:rPr>
          <w:rFonts w:asciiTheme="majorBidi" w:hAnsiTheme="majorBidi" w:cstheme="majorBidi"/>
        </w:rPr>
        <w:t xml:space="preserve">Filamentous fungi are among the most potent degraders of </w:t>
      </w:r>
      <w:proofErr w:type="spellStart"/>
      <w:r w:rsidRPr="00891E46">
        <w:rPr>
          <w:rFonts w:asciiTheme="majorBidi" w:hAnsiTheme="majorBidi" w:cstheme="majorBidi"/>
        </w:rPr>
        <w:t>lignocellulosic</w:t>
      </w:r>
      <w:proofErr w:type="spellEnd"/>
      <w:r w:rsidRPr="00891E46">
        <w:rPr>
          <w:rFonts w:asciiTheme="majorBidi" w:hAnsiTheme="majorBidi" w:cstheme="majorBidi"/>
        </w:rPr>
        <w:t xml:space="preserve"> biomass due to their ability to thrive in lignocellulose-rich environments; they produce a high number and a broad variety of carbohydrate-active enzymes</w:t>
      </w:r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CAZ</w:t>
      </w:r>
      <w:r w:rsidRPr="00891E46">
        <w:rPr>
          <w:rFonts w:asciiTheme="majorBidi" w:hAnsiTheme="majorBidi" w:cstheme="majorBidi"/>
        </w:rPr>
        <w:t>ymes</w:t>
      </w:r>
      <w:proofErr w:type="spellEnd"/>
      <w:r>
        <w:rPr>
          <w:rFonts w:asciiTheme="majorBidi" w:hAnsiTheme="majorBidi" w:cstheme="majorBidi"/>
        </w:rPr>
        <w:t>)</w:t>
      </w:r>
      <w:r w:rsidRPr="00891E4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targeting the different components of biomass</w:t>
      </w:r>
      <w:r w:rsidRPr="00891E4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Fungal biodiversity,</w:t>
      </w:r>
      <w:r w:rsidRPr="00891E46">
        <w:rPr>
          <w:rFonts w:asciiTheme="majorBidi" w:hAnsiTheme="majorBidi" w:cstheme="majorBidi"/>
        </w:rPr>
        <w:t xml:space="preserve"> collected from tree stumps in temperate and tropical regions</w:t>
      </w:r>
      <w:r>
        <w:rPr>
          <w:rFonts w:asciiTheme="majorBidi" w:hAnsiTheme="majorBidi" w:cstheme="majorBidi"/>
        </w:rPr>
        <w:t>,</w:t>
      </w:r>
      <w:r w:rsidRPr="00891E46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was explored</w:t>
      </w:r>
      <w:proofErr w:type="gramEnd"/>
      <w:r w:rsidRPr="00891E46">
        <w:rPr>
          <w:rFonts w:asciiTheme="majorBidi" w:hAnsiTheme="majorBidi" w:cstheme="majorBidi"/>
        </w:rPr>
        <w:t xml:space="preserve"> using robotic methods </w:t>
      </w:r>
      <w:r>
        <w:rPr>
          <w:rFonts w:asciiTheme="majorBidi" w:hAnsiTheme="majorBidi" w:cstheme="majorBidi"/>
        </w:rPr>
        <w:t>to identify fungal strains</w:t>
      </w:r>
      <w:r w:rsidRPr="00891E46">
        <w:rPr>
          <w:rFonts w:asciiTheme="majorBidi" w:hAnsiTheme="majorBidi" w:cstheme="majorBidi"/>
        </w:rPr>
        <w:t xml:space="preserve"> that deconstruct efficiently </w:t>
      </w:r>
      <w:r>
        <w:rPr>
          <w:rFonts w:asciiTheme="majorBidi" w:hAnsiTheme="majorBidi" w:cstheme="majorBidi"/>
        </w:rPr>
        <w:t xml:space="preserve">recalcitrant </w:t>
      </w:r>
      <w:r w:rsidRPr="00891E46">
        <w:rPr>
          <w:rFonts w:asciiTheme="majorBidi" w:hAnsiTheme="majorBidi" w:cstheme="majorBidi"/>
        </w:rPr>
        <w:t>polysaccharides. These investigations enabled the unbiased identification of fungal strains issued from biodiversity with high biotechnological potential.</w:t>
      </w:r>
    </w:p>
    <w:p w:rsidR="00050B4B" w:rsidRDefault="00050B4B" w:rsidP="00050B4B">
      <w:pPr>
        <w:jc w:val="both"/>
        <w:rPr>
          <w:rFonts w:asciiTheme="majorBidi" w:hAnsiTheme="majorBidi" w:cstheme="majorBidi"/>
        </w:rPr>
      </w:pPr>
      <w:r w:rsidRPr="00891E46">
        <w:rPr>
          <w:rFonts w:asciiTheme="majorBidi" w:hAnsiTheme="majorBidi" w:cstheme="majorBidi"/>
        </w:rPr>
        <w:t xml:space="preserve">To understand their mechanism of action, some of these fungal strains </w:t>
      </w:r>
      <w:proofErr w:type="gramStart"/>
      <w:r w:rsidRPr="00891E46">
        <w:rPr>
          <w:rFonts w:asciiTheme="majorBidi" w:hAnsiTheme="majorBidi" w:cstheme="majorBidi"/>
        </w:rPr>
        <w:t>were further investigated</w:t>
      </w:r>
      <w:proofErr w:type="gramEnd"/>
      <w:r w:rsidRPr="00891E46">
        <w:rPr>
          <w:rFonts w:asciiTheme="majorBidi" w:hAnsiTheme="majorBidi" w:cstheme="majorBidi"/>
        </w:rPr>
        <w:t xml:space="preserve"> using activity profiling and genomic, transcriptomic and proteomic techniques. The comparative analysis of fungal </w:t>
      </w:r>
      <w:proofErr w:type="spellStart"/>
      <w:r w:rsidRPr="00891E46">
        <w:rPr>
          <w:rFonts w:asciiTheme="majorBidi" w:hAnsiTheme="majorBidi" w:cstheme="majorBidi"/>
        </w:rPr>
        <w:t>secretomes</w:t>
      </w:r>
      <w:proofErr w:type="spellEnd"/>
      <w:r w:rsidRPr="00891E46">
        <w:rPr>
          <w:rFonts w:asciiTheme="majorBidi" w:hAnsiTheme="majorBidi" w:cstheme="majorBidi"/>
        </w:rPr>
        <w:t xml:space="preserve"> using proteomics highlighted the cooperation between fungal enzymes for enhanced degradation of complex </w:t>
      </w:r>
      <w:proofErr w:type="spellStart"/>
      <w:r w:rsidRPr="00891E46">
        <w:rPr>
          <w:rFonts w:asciiTheme="majorBidi" w:hAnsiTheme="majorBidi" w:cstheme="majorBidi"/>
        </w:rPr>
        <w:t>lignocellulosic</w:t>
      </w:r>
      <w:proofErr w:type="spellEnd"/>
      <w:r w:rsidRPr="00891E46">
        <w:rPr>
          <w:rFonts w:asciiTheme="majorBidi" w:hAnsiTheme="majorBidi" w:cstheme="majorBidi"/>
        </w:rPr>
        <w:t xml:space="preserve"> substrates and some discrepancies in </w:t>
      </w:r>
      <w:proofErr w:type="spellStart"/>
      <w:r w:rsidRPr="00891E46">
        <w:rPr>
          <w:rFonts w:asciiTheme="majorBidi" w:hAnsiTheme="majorBidi" w:cstheme="majorBidi"/>
        </w:rPr>
        <w:t>CAZymes</w:t>
      </w:r>
      <w:proofErr w:type="spellEnd"/>
      <w:r w:rsidRPr="00891E46">
        <w:rPr>
          <w:rFonts w:asciiTheme="majorBidi" w:hAnsiTheme="majorBidi" w:cstheme="majorBidi"/>
        </w:rPr>
        <w:t xml:space="preserve"> sets dedicated to different types of biomass. </w:t>
      </w:r>
    </w:p>
    <w:p w:rsidR="001A5C5A" w:rsidRDefault="00050B4B" w:rsidP="00050B4B">
      <w:pPr>
        <w:pStyle w:val="Standard"/>
        <w:spacing w:after="120"/>
        <w:jc w:val="both"/>
        <w:rPr>
          <w:rFonts w:ascii="Times New Roman" w:eastAsia="Times New Roman" w:hAnsi="Times New Roman" w:cs="Times New Roman"/>
          <w:lang w:val="en-US"/>
        </w:rPr>
      </w:pPr>
      <w:r w:rsidRPr="00891E46">
        <w:rPr>
          <w:rFonts w:asciiTheme="majorBidi" w:hAnsiTheme="majorBidi" w:cstheme="majorBidi"/>
        </w:rPr>
        <w:t xml:space="preserve">Over </w:t>
      </w:r>
      <w:proofErr w:type="spellStart"/>
      <w:r w:rsidRPr="00891E46">
        <w:rPr>
          <w:rFonts w:asciiTheme="majorBidi" w:hAnsiTheme="majorBidi" w:cstheme="majorBidi"/>
        </w:rPr>
        <w:t>the</w:t>
      </w:r>
      <w:proofErr w:type="spellEnd"/>
      <w:r w:rsidRPr="00891E46">
        <w:rPr>
          <w:rFonts w:asciiTheme="majorBidi" w:hAnsiTheme="majorBidi" w:cstheme="majorBidi"/>
        </w:rPr>
        <w:t xml:space="preserve"> last </w:t>
      </w:r>
      <w:proofErr w:type="spellStart"/>
      <w:r w:rsidRPr="00891E46">
        <w:rPr>
          <w:rFonts w:asciiTheme="majorBidi" w:hAnsiTheme="majorBidi" w:cstheme="majorBidi"/>
        </w:rPr>
        <w:t>ten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years</w:t>
      </w:r>
      <w:proofErr w:type="spellEnd"/>
      <w:r w:rsidRPr="00891E46">
        <w:rPr>
          <w:rFonts w:asciiTheme="majorBidi" w:hAnsiTheme="majorBidi" w:cstheme="majorBidi"/>
        </w:rPr>
        <w:t xml:space="preserve">, </w:t>
      </w:r>
      <w:proofErr w:type="spellStart"/>
      <w:r w:rsidRPr="00891E46">
        <w:rPr>
          <w:rFonts w:asciiTheme="majorBidi" w:hAnsiTheme="majorBidi" w:cstheme="majorBidi"/>
        </w:rPr>
        <w:t>hundreds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of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fungal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secretomes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gathering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several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thousands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of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lignocellulose-acting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enzymes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have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 w:rsidRPr="00891E46">
        <w:rPr>
          <w:rFonts w:asciiTheme="majorBidi" w:hAnsiTheme="majorBidi" w:cstheme="majorBidi"/>
        </w:rPr>
        <w:t>been</w:t>
      </w:r>
      <w:proofErr w:type="spellEnd"/>
      <w:r w:rsidRPr="00891E4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analyzed</w:t>
      </w:r>
      <w:proofErr w:type="spellEnd"/>
      <w:r w:rsidRPr="00891E4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Bioinformatic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exploration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of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these</w:t>
      </w:r>
      <w:proofErr w:type="spellEnd"/>
      <w:r>
        <w:rPr>
          <w:rFonts w:asciiTheme="majorBidi" w:hAnsiTheme="majorBidi" w:cstheme="majorBidi"/>
        </w:rPr>
        <w:t xml:space="preserve"> </w:t>
      </w:r>
      <w:r w:rsidRPr="000420CC">
        <w:rPr>
          <w:rFonts w:asciiTheme="majorBidi" w:hAnsiTheme="majorBidi" w:cstheme="majorBidi"/>
        </w:rPr>
        <w:t>post-</w:t>
      </w:r>
      <w:proofErr w:type="spellStart"/>
      <w:r w:rsidRPr="000420CC">
        <w:rPr>
          <w:rFonts w:asciiTheme="majorBidi" w:hAnsiTheme="majorBidi" w:cstheme="majorBidi"/>
        </w:rPr>
        <w:t>genomic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data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coupled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with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functional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data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is</w:t>
      </w:r>
      <w:proofErr w:type="spellEnd"/>
      <w:r w:rsidRPr="000420CC">
        <w:rPr>
          <w:rFonts w:asciiTheme="majorBidi" w:hAnsiTheme="majorBidi" w:cstheme="majorBidi"/>
        </w:rPr>
        <w:t xml:space="preserve"> a powerful </w:t>
      </w:r>
      <w:proofErr w:type="spellStart"/>
      <w:r w:rsidRPr="000420CC">
        <w:rPr>
          <w:rFonts w:asciiTheme="majorBidi" w:hAnsiTheme="majorBidi" w:cstheme="majorBidi"/>
        </w:rPr>
        <w:t>asset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for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the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discovery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of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new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enzymatic</w:t>
      </w:r>
      <w:proofErr w:type="spellEnd"/>
      <w:r w:rsidRPr="000420CC">
        <w:rPr>
          <w:rFonts w:asciiTheme="majorBidi" w:hAnsiTheme="majorBidi" w:cstheme="majorBidi"/>
        </w:rPr>
        <w:t xml:space="preserve"> </w:t>
      </w:r>
      <w:proofErr w:type="spellStart"/>
      <w:r w:rsidRPr="000420CC">
        <w:rPr>
          <w:rFonts w:asciiTheme="majorBidi" w:hAnsiTheme="majorBidi" w:cstheme="majorBidi"/>
        </w:rPr>
        <w:t>functions</w:t>
      </w:r>
      <w:proofErr w:type="spellEnd"/>
      <w:r w:rsidRPr="000420C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In </w:t>
      </w:r>
      <w:proofErr w:type="spellStart"/>
      <w:r>
        <w:rPr>
          <w:rFonts w:asciiTheme="majorBidi" w:hAnsiTheme="majorBidi" w:cstheme="majorBidi"/>
        </w:rPr>
        <w:t>this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lecture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there</w:t>
      </w:r>
      <w:proofErr w:type="spellEnd"/>
      <w:r>
        <w:rPr>
          <w:rFonts w:asciiTheme="majorBidi" w:hAnsiTheme="majorBidi" w:cstheme="majorBidi"/>
        </w:rPr>
        <w:t xml:space="preserve"> will </w:t>
      </w:r>
      <w:proofErr w:type="spellStart"/>
      <w:r>
        <w:rPr>
          <w:rFonts w:asciiTheme="majorBidi" w:hAnsiTheme="majorBidi" w:cstheme="majorBidi"/>
        </w:rPr>
        <w:t>be</w:t>
      </w:r>
      <w:proofErr w:type="spellEnd"/>
      <w:r>
        <w:rPr>
          <w:rFonts w:asciiTheme="majorBidi" w:hAnsiTheme="majorBidi" w:cstheme="majorBidi"/>
        </w:rPr>
        <w:t xml:space="preserve"> a </w:t>
      </w:r>
      <w:proofErr w:type="spellStart"/>
      <w:r>
        <w:rPr>
          <w:rFonts w:asciiTheme="majorBidi" w:hAnsiTheme="majorBidi" w:cstheme="majorBidi"/>
        </w:rPr>
        <w:t>focus</w:t>
      </w:r>
      <w:proofErr w:type="spellEnd"/>
      <w:r>
        <w:rPr>
          <w:rFonts w:asciiTheme="majorBidi" w:hAnsiTheme="majorBidi" w:cstheme="majorBidi"/>
        </w:rPr>
        <w:t xml:space="preserve"> on </w:t>
      </w:r>
      <w:proofErr w:type="spellStart"/>
      <w:r>
        <w:rPr>
          <w:rFonts w:asciiTheme="majorBidi" w:hAnsiTheme="majorBidi" w:cstheme="majorBidi"/>
        </w:rPr>
        <w:t>the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discovery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new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CAZy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families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gathering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fungal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lytic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polysaccharide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monooxygenases</w:t>
      </w:r>
      <w:proofErr w:type="spellEnd"/>
      <w:r>
        <w:rPr>
          <w:rFonts w:asciiTheme="majorBidi" w:hAnsiTheme="majorBidi" w:cstheme="majorBidi"/>
        </w:rPr>
        <w:t xml:space="preserve"> (LPMOs) [1-4].</w:t>
      </w:r>
    </w:p>
    <w:p w:rsidR="001A5C5A" w:rsidRDefault="001A5C5A">
      <w:pPr>
        <w:pStyle w:val="Standard"/>
        <w:spacing w:after="120"/>
        <w:jc w:val="both"/>
        <w:rPr>
          <w:rFonts w:ascii="Times New Roman" w:eastAsia="Times New Roman" w:hAnsi="Times New Roman" w:cs="Times New Roman"/>
          <w:lang w:val="en-US"/>
        </w:rPr>
      </w:pPr>
    </w:p>
    <w:p w:rsidR="001A5C5A" w:rsidRDefault="006F6215">
      <w:pPr>
        <w:pStyle w:val="Standard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________________</w:t>
      </w:r>
    </w:p>
    <w:p w:rsidR="001A5C5A" w:rsidRPr="00A6768E" w:rsidRDefault="006F6215">
      <w:pPr>
        <w:pStyle w:val="Standa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[1]</w:t>
      </w:r>
      <w:r>
        <w:rPr>
          <w:sz w:val="22"/>
          <w:szCs w:val="22"/>
          <w:lang w:val="en-US"/>
        </w:rPr>
        <w:tab/>
      </w:r>
      <w:r w:rsidR="00A6768E">
        <w:rPr>
          <w:sz w:val="22"/>
          <w:szCs w:val="22"/>
        </w:rPr>
        <w:t xml:space="preserve">Berrin J.G.; Rosso M.N.; Abou </w:t>
      </w:r>
      <w:proofErr w:type="spellStart"/>
      <w:r w:rsidR="00A6768E">
        <w:rPr>
          <w:sz w:val="22"/>
          <w:szCs w:val="22"/>
        </w:rPr>
        <w:t>Hachem</w:t>
      </w:r>
      <w:proofErr w:type="spellEnd"/>
      <w:r w:rsidR="00A6768E">
        <w:rPr>
          <w:sz w:val="22"/>
          <w:szCs w:val="22"/>
        </w:rPr>
        <w:t xml:space="preserve"> M. </w:t>
      </w:r>
      <w:proofErr w:type="spellStart"/>
      <w:r w:rsidR="00A6768E" w:rsidRPr="00F61C58">
        <w:rPr>
          <w:i/>
          <w:sz w:val="22"/>
          <w:szCs w:val="22"/>
        </w:rPr>
        <w:t>Carbohydr</w:t>
      </w:r>
      <w:proofErr w:type="spellEnd"/>
      <w:r w:rsidR="00A6768E">
        <w:rPr>
          <w:i/>
          <w:sz w:val="22"/>
          <w:szCs w:val="22"/>
        </w:rPr>
        <w:t>.</w:t>
      </w:r>
      <w:r w:rsidR="00A6768E" w:rsidRPr="00F61C58">
        <w:rPr>
          <w:i/>
          <w:sz w:val="22"/>
          <w:szCs w:val="22"/>
        </w:rPr>
        <w:t xml:space="preserve"> Res</w:t>
      </w:r>
      <w:r w:rsidR="00A6768E">
        <w:rPr>
          <w:i/>
          <w:sz w:val="22"/>
          <w:szCs w:val="22"/>
        </w:rPr>
        <w:t>.</w:t>
      </w:r>
      <w:r w:rsidR="00A6768E">
        <w:rPr>
          <w:sz w:val="22"/>
          <w:szCs w:val="22"/>
        </w:rPr>
        <w:t xml:space="preserve">, </w:t>
      </w:r>
      <w:r w:rsidR="00A6768E" w:rsidRPr="0054189E">
        <w:rPr>
          <w:b/>
          <w:sz w:val="22"/>
          <w:szCs w:val="22"/>
        </w:rPr>
        <w:t>2017</w:t>
      </w:r>
      <w:r w:rsidR="00A6768E">
        <w:rPr>
          <w:sz w:val="22"/>
          <w:szCs w:val="22"/>
        </w:rPr>
        <w:t xml:space="preserve">, </w:t>
      </w:r>
      <w:r w:rsidR="00A6768E" w:rsidRPr="0054189E">
        <w:rPr>
          <w:i/>
          <w:sz w:val="22"/>
          <w:szCs w:val="22"/>
        </w:rPr>
        <w:t>448</w:t>
      </w:r>
      <w:r w:rsidR="00A6768E">
        <w:rPr>
          <w:sz w:val="22"/>
          <w:szCs w:val="22"/>
        </w:rPr>
        <w:t>, 155-</w:t>
      </w:r>
      <w:r w:rsidR="00A6768E" w:rsidRPr="00F61C58">
        <w:rPr>
          <w:sz w:val="22"/>
          <w:szCs w:val="22"/>
        </w:rPr>
        <w:t>160</w:t>
      </w:r>
      <w:r w:rsidR="00A6768E">
        <w:rPr>
          <w:sz w:val="22"/>
          <w:szCs w:val="22"/>
        </w:rPr>
        <w:t>.</w:t>
      </w:r>
    </w:p>
    <w:p w:rsidR="001A5C5A" w:rsidRDefault="006F6215">
      <w:pPr>
        <w:pStyle w:val="Standa"/>
        <w:ind w:left="360" w:hanging="360"/>
        <w:jc w:val="both"/>
        <w:rPr>
          <w:sz w:val="22"/>
          <w:szCs w:val="22"/>
        </w:rPr>
      </w:pPr>
      <w:r w:rsidRPr="00A6768E">
        <w:rPr>
          <w:sz w:val="22"/>
          <w:szCs w:val="22"/>
        </w:rPr>
        <w:t>[2]</w:t>
      </w:r>
      <w:r w:rsidRPr="00A6768E">
        <w:rPr>
          <w:sz w:val="22"/>
          <w:szCs w:val="22"/>
        </w:rPr>
        <w:tab/>
      </w:r>
      <w:proofErr w:type="spellStart"/>
      <w:r w:rsidR="00A6768E" w:rsidRPr="00E77C31">
        <w:rPr>
          <w:sz w:val="22"/>
          <w:szCs w:val="22"/>
        </w:rPr>
        <w:t>Tandrup</w:t>
      </w:r>
      <w:proofErr w:type="spellEnd"/>
      <w:r w:rsidR="00A6768E">
        <w:rPr>
          <w:sz w:val="22"/>
          <w:szCs w:val="22"/>
        </w:rPr>
        <w:t xml:space="preserve"> T.</w:t>
      </w:r>
      <w:r w:rsidR="00A6768E" w:rsidRPr="00E77C31">
        <w:rPr>
          <w:sz w:val="22"/>
          <w:szCs w:val="22"/>
        </w:rPr>
        <w:t xml:space="preserve">, </w:t>
      </w:r>
      <w:proofErr w:type="spellStart"/>
      <w:r w:rsidR="00A6768E" w:rsidRPr="00E77C31">
        <w:rPr>
          <w:sz w:val="22"/>
          <w:szCs w:val="22"/>
        </w:rPr>
        <w:t>Frandsen</w:t>
      </w:r>
      <w:proofErr w:type="spellEnd"/>
      <w:r w:rsidR="00A6768E">
        <w:rPr>
          <w:sz w:val="22"/>
          <w:szCs w:val="22"/>
        </w:rPr>
        <w:t xml:space="preserve"> K.E.;</w:t>
      </w:r>
      <w:r w:rsidR="00A6768E" w:rsidRPr="00E77C31">
        <w:rPr>
          <w:sz w:val="22"/>
          <w:szCs w:val="22"/>
        </w:rPr>
        <w:t xml:space="preserve"> Johansen</w:t>
      </w:r>
      <w:r w:rsidR="00A6768E">
        <w:rPr>
          <w:sz w:val="22"/>
          <w:szCs w:val="22"/>
        </w:rPr>
        <w:t xml:space="preserve"> K.S.;</w:t>
      </w:r>
      <w:r w:rsidR="00A6768E" w:rsidRPr="00E77C31">
        <w:rPr>
          <w:sz w:val="22"/>
          <w:szCs w:val="22"/>
        </w:rPr>
        <w:t xml:space="preserve"> </w:t>
      </w:r>
      <w:r w:rsidR="00A6768E" w:rsidRPr="00E77C31">
        <w:rPr>
          <w:i/>
          <w:sz w:val="22"/>
          <w:szCs w:val="22"/>
        </w:rPr>
        <w:t>et al</w:t>
      </w:r>
      <w:r w:rsidR="00A6768E" w:rsidRPr="00E77C31">
        <w:rPr>
          <w:sz w:val="22"/>
          <w:szCs w:val="22"/>
        </w:rPr>
        <w:t xml:space="preserve">. </w:t>
      </w:r>
      <w:proofErr w:type="spellStart"/>
      <w:r w:rsidR="00A6768E" w:rsidRPr="00E77C31">
        <w:rPr>
          <w:i/>
          <w:sz w:val="22"/>
          <w:szCs w:val="22"/>
        </w:rPr>
        <w:t>Biochem</w:t>
      </w:r>
      <w:proofErr w:type="spellEnd"/>
      <w:r w:rsidR="00A6768E">
        <w:rPr>
          <w:i/>
          <w:sz w:val="22"/>
          <w:szCs w:val="22"/>
        </w:rPr>
        <w:t>.</w:t>
      </w:r>
      <w:r w:rsidR="00A6768E" w:rsidRPr="00E77C31">
        <w:rPr>
          <w:i/>
          <w:sz w:val="22"/>
          <w:szCs w:val="22"/>
        </w:rPr>
        <w:t xml:space="preserve"> </w:t>
      </w:r>
      <w:proofErr w:type="spellStart"/>
      <w:r w:rsidR="00A6768E" w:rsidRPr="00E77C31">
        <w:rPr>
          <w:i/>
          <w:sz w:val="22"/>
          <w:szCs w:val="22"/>
        </w:rPr>
        <w:t>Soc</w:t>
      </w:r>
      <w:proofErr w:type="spellEnd"/>
      <w:r w:rsidR="00A6768E">
        <w:rPr>
          <w:i/>
          <w:sz w:val="22"/>
          <w:szCs w:val="22"/>
        </w:rPr>
        <w:t>.</w:t>
      </w:r>
      <w:r w:rsidR="00A6768E" w:rsidRPr="00E77C31">
        <w:rPr>
          <w:i/>
          <w:sz w:val="22"/>
          <w:szCs w:val="22"/>
        </w:rPr>
        <w:t xml:space="preserve"> Trans</w:t>
      </w:r>
      <w:r w:rsidR="00A6768E">
        <w:rPr>
          <w:i/>
          <w:sz w:val="22"/>
          <w:szCs w:val="22"/>
        </w:rPr>
        <w:t>.</w:t>
      </w:r>
      <w:r w:rsidR="00A6768E">
        <w:rPr>
          <w:sz w:val="22"/>
          <w:szCs w:val="22"/>
        </w:rPr>
        <w:t xml:space="preserve">, </w:t>
      </w:r>
      <w:r w:rsidR="00A6768E" w:rsidRPr="0054189E">
        <w:rPr>
          <w:b/>
          <w:sz w:val="22"/>
          <w:szCs w:val="22"/>
        </w:rPr>
        <w:t>2018</w:t>
      </w:r>
      <w:r w:rsidR="00A6768E">
        <w:rPr>
          <w:sz w:val="22"/>
          <w:szCs w:val="22"/>
        </w:rPr>
        <w:t>,</w:t>
      </w:r>
      <w:r w:rsidR="00A6768E" w:rsidRPr="00E77C31">
        <w:rPr>
          <w:sz w:val="22"/>
          <w:szCs w:val="22"/>
        </w:rPr>
        <w:t xml:space="preserve"> 46:1431-1447</w:t>
      </w:r>
      <w:r w:rsidR="00A6768E" w:rsidRPr="0054189E">
        <w:rPr>
          <w:sz w:val="22"/>
          <w:szCs w:val="22"/>
          <w:lang w:val="fr-FR"/>
        </w:rPr>
        <w:t>.</w:t>
      </w:r>
    </w:p>
    <w:p w:rsidR="00050B4B" w:rsidRDefault="00050B4B">
      <w:pPr>
        <w:pStyle w:val="Standa"/>
        <w:ind w:left="360" w:hanging="360"/>
        <w:jc w:val="both"/>
        <w:rPr>
          <w:rFonts w:cs="Times New Roman"/>
          <w:sz w:val="22"/>
          <w:szCs w:val="22"/>
        </w:rPr>
      </w:pPr>
      <w:r w:rsidRPr="00A6768E">
        <w:rPr>
          <w:sz w:val="22"/>
          <w:szCs w:val="22"/>
        </w:rPr>
        <w:t>[3]</w:t>
      </w:r>
      <w:r w:rsidRPr="00A6768E">
        <w:rPr>
          <w:sz w:val="22"/>
          <w:szCs w:val="22"/>
        </w:rPr>
        <w:tab/>
      </w:r>
      <w:r w:rsidR="00A6768E" w:rsidRPr="00957242">
        <w:rPr>
          <w:rFonts w:cs="Times New Roman"/>
          <w:sz w:val="22"/>
          <w:szCs w:val="22"/>
        </w:rPr>
        <w:t>Couturier</w:t>
      </w:r>
      <w:r w:rsidR="00A6768E">
        <w:rPr>
          <w:rFonts w:cs="Times New Roman"/>
          <w:sz w:val="22"/>
          <w:szCs w:val="22"/>
        </w:rPr>
        <w:t xml:space="preserve"> M.;</w:t>
      </w:r>
      <w:r w:rsidR="00A6768E" w:rsidRPr="00957242">
        <w:rPr>
          <w:rFonts w:cs="Times New Roman"/>
          <w:sz w:val="22"/>
          <w:szCs w:val="22"/>
        </w:rPr>
        <w:t xml:space="preserve"> </w:t>
      </w:r>
      <w:proofErr w:type="spellStart"/>
      <w:r w:rsidR="00A6768E" w:rsidRPr="00957242">
        <w:rPr>
          <w:rFonts w:cs="Times New Roman"/>
          <w:sz w:val="22"/>
          <w:szCs w:val="22"/>
        </w:rPr>
        <w:t>Ladevèze</w:t>
      </w:r>
      <w:proofErr w:type="spellEnd"/>
      <w:r w:rsidR="00A6768E">
        <w:rPr>
          <w:rFonts w:cs="Times New Roman"/>
          <w:sz w:val="22"/>
          <w:szCs w:val="22"/>
        </w:rPr>
        <w:t xml:space="preserve"> S.;</w:t>
      </w:r>
      <w:r w:rsidR="00A6768E" w:rsidRPr="00957242">
        <w:rPr>
          <w:rFonts w:cs="Times New Roman"/>
          <w:sz w:val="22"/>
          <w:szCs w:val="22"/>
        </w:rPr>
        <w:t xml:space="preserve"> </w:t>
      </w:r>
      <w:proofErr w:type="spellStart"/>
      <w:r w:rsidR="00A6768E" w:rsidRPr="00957242">
        <w:rPr>
          <w:rFonts w:cs="Times New Roman"/>
          <w:sz w:val="22"/>
          <w:szCs w:val="22"/>
        </w:rPr>
        <w:t>Sulzenbacher</w:t>
      </w:r>
      <w:proofErr w:type="spellEnd"/>
      <w:r w:rsidR="00A6768E">
        <w:rPr>
          <w:rFonts w:cs="Times New Roman"/>
          <w:sz w:val="22"/>
          <w:szCs w:val="22"/>
        </w:rPr>
        <w:t xml:space="preserve"> G.; </w:t>
      </w:r>
      <w:r w:rsidR="00A6768E" w:rsidRPr="00957242">
        <w:rPr>
          <w:rFonts w:cs="Times New Roman"/>
          <w:i/>
          <w:sz w:val="22"/>
          <w:szCs w:val="22"/>
        </w:rPr>
        <w:t>et al</w:t>
      </w:r>
      <w:r w:rsidR="00A6768E">
        <w:rPr>
          <w:rFonts w:cs="Times New Roman"/>
          <w:sz w:val="22"/>
          <w:szCs w:val="22"/>
        </w:rPr>
        <w:t xml:space="preserve">. </w:t>
      </w:r>
      <w:r w:rsidR="00A6768E" w:rsidRPr="00957242">
        <w:rPr>
          <w:rFonts w:cs="Times New Roman"/>
          <w:i/>
          <w:sz w:val="22"/>
          <w:szCs w:val="22"/>
        </w:rPr>
        <w:t>Nat</w:t>
      </w:r>
      <w:r w:rsidR="00A6768E">
        <w:rPr>
          <w:rFonts w:cs="Times New Roman"/>
          <w:i/>
          <w:sz w:val="22"/>
          <w:szCs w:val="22"/>
        </w:rPr>
        <w:t>.</w:t>
      </w:r>
      <w:r w:rsidR="00A6768E" w:rsidRPr="00957242">
        <w:rPr>
          <w:rFonts w:cs="Times New Roman"/>
          <w:i/>
          <w:sz w:val="22"/>
          <w:szCs w:val="22"/>
        </w:rPr>
        <w:t xml:space="preserve"> Chem</w:t>
      </w:r>
      <w:r w:rsidR="00A6768E">
        <w:rPr>
          <w:rFonts w:cs="Times New Roman"/>
          <w:i/>
          <w:sz w:val="22"/>
          <w:szCs w:val="22"/>
        </w:rPr>
        <w:t>.</w:t>
      </w:r>
      <w:r w:rsidR="00A6768E" w:rsidRPr="00957242">
        <w:rPr>
          <w:rFonts w:cs="Times New Roman"/>
          <w:i/>
          <w:sz w:val="22"/>
          <w:szCs w:val="22"/>
        </w:rPr>
        <w:t xml:space="preserve"> </w:t>
      </w:r>
      <w:proofErr w:type="spellStart"/>
      <w:r w:rsidR="00A6768E" w:rsidRPr="00957242">
        <w:rPr>
          <w:rFonts w:cs="Times New Roman"/>
          <w:i/>
          <w:sz w:val="22"/>
          <w:szCs w:val="22"/>
        </w:rPr>
        <w:t>Biol</w:t>
      </w:r>
      <w:proofErr w:type="spellEnd"/>
      <w:r w:rsidR="00A6768E">
        <w:rPr>
          <w:rFonts w:cs="Times New Roman"/>
          <w:i/>
          <w:sz w:val="22"/>
          <w:szCs w:val="22"/>
        </w:rPr>
        <w:t>.</w:t>
      </w:r>
      <w:r w:rsidR="00A6768E">
        <w:rPr>
          <w:rFonts w:cs="Times New Roman"/>
          <w:sz w:val="22"/>
          <w:szCs w:val="22"/>
        </w:rPr>
        <w:t xml:space="preserve">, </w:t>
      </w:r>
      <w:r w:rsidR="00A6768E" w:rsidRPr="0054189E">
        <w:rPr>
          <w:rFonts w:cs="Times New Roman"/>
          <w:b/>
          <w:sz w:val="22"/>
          <w:szCs w:val="22"/>
        </w:rPr>
        <w:t>2018</w:t>
      </w:r>
      <w:r w:rsidR="00A6768E">
        <w:rPr>
          <w:rFonts w:cs="Times New Roman"/>
          <w:sz w:val="22"/>
          <w:szCs w:val="22"/>
        </w:rPr>
        <w:t>,</w:t>
      </w:r>
      <w:r w:rsidR="00A6768E" w:rsidRPr="00957242">
        <w:rPr>
          <w:rFonts w:cs="Times New Roman"/>
          <w:sz w:val="22"/>
          <w:szCs w:val="22"/>
        </w:rPr>
        <w:t xml:space="preserve"> </w:t>
      </w:r>
      <w:r w:rsidR="00A6768E" w:rsidRPr="0054189E">
        <w:rPr>
          <w:rFonts w:cs="Times New Roman"/>
          <w:i/>
          <w:sz w:val="22"/>
          <w:szCs w:val="22"/>
        </w:rPr>
        <w:t>14</w:t>
      </w:r>
      <w:r w:rsidR="00A6768E">
        <w:rPr>
          <w:rFonts w:cs="Times New Roman"/>
          <w:sz w:val="22"/>
          <w:szCs w:val="22"/>
        </w:rPr>
        <w:t xml:space="preserve">, </w:t>
      </w:r>
      <w:r w:rsidR="00A6768E" w:rsidRPr="00957242">
        <w:rPr>
          <w:rFonts w:cs="Times New Roman"/>
          <w:sz w:val="22"/>
          <w:szCs w:val="22"/>
        </w:rPr>
        <w:t>306-310.</w:t>
      </w:r>
    </w:p>
    <w:p w:rsidR="00050B4B" w:rsidRDefault="00050B4B">
      <w:pPr>
        <w:pStyle w:val="Standa"/>
        <w:ind w:left="360" w:hanging="360"/>
        <w:jc w:val="both"/>
      </w:pPr>
      <w:r w:rsidRPr="00A6768E">
        <w:rPr>
          <w:sz w:val="22"/>
          <w:szCs w:val="22"/>
          <w:lang w:val="fr-FR"/>
        </w:rPr>
        <w:t>[4]</w:t>
      </w:r>
      <w:r w:rsidRPr="00A6768E">
        <w:rPr>
          <w:sz w:val="22"/>
          <w:szCs w:val="22"/>
          <w:lang w:val="fr-FR"/>
        </w:rPr>
        <w:tab/>
      </w:r>
      <w:proofErr w:type="spellStart"/>
      <w:r w:rsidR="00A6768E" w:rsidRPr="00957242">
        <w:rPr>
          <w:rFonts w:cs="Times New Roman"/>
          <w:sz w:val="22"/>
          <w:szCs w:val="22"/>
        </w:rPr>
        <w:t>Filiatrault</w:t>
      </w:r>
      <w:proofErr w:type="spellEnd"/>
      <w:r w:rsidR="00A6768E" w:rsidRPr="00957242">
        <w:rPr>
          <w:rFonts w:cs="Times New Roman"/>
          <w:sz w:val="22"/>
          <w:szCs w:val="22"/>
        </w:rPr>
        <w:t xml:space="preserve"> Chastel</w:t>
      </w:r>
      <w:r w:rsidR="00A6768E">
        <w:rPr>
          <w:rFonts w:cs="Times New Roman"/>
          <w:sz w:val="22"/>
          <w:szCs w:val="22"/>
        </w:rPr>
        <w:t xml:space="preserve"> C.;</w:t>
      </w:r>
      <w:r w:rsidR="00A6768E" w:rsidRPr="00957242">
        <w:rPr>
          <w:rFonts w:cs="Times New Roman"/>
          <w:sz w:val="22"/>
          <w:szCs w:val="22"/>
        </w:rPr>
        <w:t xml:space="preserve"> Navarro</w:t>
      </w:r>
      <w:r w:rsidR="00A6768E">
        <w:rPr>
          <w:rFonts w:cs="Times New Roman"/>
          <w:sz w:val="22"/>
          <w:szCs w:val="22"/>
        </w:rPr>
        <w:t xml:space="preserve"> D.;</w:t>
      </w:r>
      <w:r w:rsidR="00A6768E" w:rsidRPr="00957242">
        <w:rPr>
          <w:rFonts w:cs="Times New Roman"/>
          <w:sz w:val="22"/>
          <w:szCs w:val="22"/>
        </w:rPr>
        <w:t xml:space="preserve"> </w:t>
      </w:r>
      <w:proofErr w:type="spellStart"/>
      <w:r w:rsidR="00A6768E" w:rsidRPr="00957242">
        <w:rPr>
          <w:rFonts w:cs="Times New Roman"/>
          <w:sz w:val="22"/>
          <w:szCs w:val="22"/>
        </w:rPr>
        <w:t>Haon</w:t>
      </w:r>
      <w:proofErr w:type="spellEnd"/>
      <w:r w:rsidR="00A6768E">
        <w:rPr>
          <w:rFonts w:cs="Times New Roman"/>
          <w:sz w:val="22"/>
          <w:szCs w:val="22"/>
        </w:rPr>
        <w:t xml:space="preserve"> M.; </w:t>
      </w:r>
      <w:r w:rsidR="00A6768E" w:rsidRPr="00957242">
        <w:rPr>
          <w:rFonts w:cs="Times New Roman"/>
          <w:i/>
          <w:sz w:val="22"/>
          <w:szCs w:val="22"/>
        </w:rPr>
        <w:t>et al</w:t>
      </w:r>
      <w:r w:rsidR="00A6768E">
        <w:rPr>
          <w:rFonts w:cs="Times New Roman"/>
          <w:sz w:val="22"/>
          <w:szCs w:val="22"/>
        </w:rPr>
        <w:t xml:space="preserve">. </w:t>
      </w:r>
      <w:proofErr w:type="spellStart"/>
      <w:r w:rsidR="00A6768E" w:rsidRPr="00957242">
        <w:rPr>
          <w:rFonts w:cs="Times New Roman"/>
          <w:i/>
          <w:sz w:val="22"/>
          <w:szCs w:val="22"/>
        </w:rPr>
        <w:t>Biotechnol</w:t>
      </w:r>
      <w:proofErr w:type="spellEnd"/>
      <w:r w:rsidR="00A6768E">
        <w:rPr>
          <w:rFonts w:cs="Times New Roman"/>
          <w:i/>
          <w:sz w:val="22"/>
          <w:szCs w:val="22"/>
        </w:rPr>
        <w:t>.</w:t>
      </w:r>
      <w:r w:rsidR="00A6768E" w:rsidRPr="00957242">
        <w:rPr>
          <w:rFonts w:cs="Times New Roman"/>
          <w:i/>
          <w:sz w:val="22"/>
          <w:szCs w:val="22"/>
        </w:rPr>
        <w:t xml:space="preserve"> </w:t>
      </w:r>
      <w:proofErr w:type="spellStart"/>
      <w:r w:rsidR="00A6768E" w:rsidRPr="00957242">
        <w:rPr>
          <w:rFonts w:cs="Times New Roman"/>
          <w:i/>
          <w:sz w:val="22"/>
          <w:szCs w:val="22"/>
        </w:rPr>
        <w:t>Biofuels</w:t>
      </w:r>
      <w:proofErr w:type="spellEnd"/>
      <w:r w:rsidR="00A6768E">
        <w:rPr>
          <w:rFonts w:cs="Times New Roman"/>
          <w:sz w:val="22"/>
          <w:szCs w:val="22"/>
        </w:rPr>
        <w:t xml:space="preserve">, </w:t>
      </w:r>
      <w:r w:rsidR="00A6768E" w:rsidRPr="0054189E">
        <w:rPr>
          <w:rFonts w:cs="Times New Roman"/>
          <w:b/>
          <w:sz w:val="22"/>
          <w:szCs w:val="22"/>
        </w:rPr>
        <w:t>2019</w:t>
      </w:r>
      <w:r w:rsidR="00A6768E">
        <w:rPr>
          <w:rFonts w:cs="Times New Roman"/>
          <w:sz w:val="22"/>
          <w:szCs w:val="22"/>
        </w:rPr>
        <w:t>,</w:t>
      </w:r>
      <w:r w:rsidR="00A6768E">
        <w:rPr>
          <w:rFonts w:cs="Times New Roman"/>
          <w:i/>
          <w:sz w:val="22"/>
          <w:szCs w:val="22"/>
        </w:rPr>
        <w:t xml:space="preserve"> </w:t>
      </w:r>
      <w:r w:rsidR="00A6768E" w:rsidRPr="0054189E">
        <w:rPr>
          <w:rFonts w:cs="Times New Roman"/>
          <w:i/>
          <w:sz w:val="22"/>
          <w:szCs w:val="22"/>
        </w:rPr>
        <w:t>12</w:t>
      </w:r>
      <w:r w:rsidR="00A6768E">
        <w:rPr>
          <w:rFonts w:cs="Times New Roman"/>
          <w:sz w:val="22"/>
          <w:szCs w:val="22"/>
        </w:rPr>
        <w:t>, 15</w:t>
      </w:r>
      <w:r w:rsidR="00A6768E" w:rsidRPr="00957242">
        <w:rPr>
          <w:rFonts w:cs="Times New Roman"/>
          <w:sz w:val="22"/>
          <w:szCs w:val="22"/>
        </w:rPr>
        <w:t>.</w:t>
      </w:r>
    </w:p>
    <w:sectPr w:rsidR="00050B4B">
      <w:headerReference w:type="default" r:id="rId7"/>
      <w:footerReference w:type="default" r:id="rId8"/>
      <w:pgSz w:w="11900" w:h="16840"/>
      <w:pgMar w:top="1418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D0" w:rsidRDefault="008109D0">
      <w:r>
        <w:separator/>
      </w:r>
    </w:p>
  </w:endnote>
  <w:endnote w:type="continuationSeparator" w:id="0">
    <w:p w:rsidR="008109D0" w:rsidRDefault="008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5A" w:rsidRDefault="006F6215">
    <w:pPr>
      <w:pStyle w:val="Fuzei"/>
      <w:tabs>
        <w:tab w:val="clear" w:pos="9072"/>
        <w:tab w:val="right" w:pos="8761"/>
      </w:tabs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D037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D0" w:rsidRDefault="008109D0">
      <w:r>
        <w:separator/>
      </w:r>
    </w:p>
  </w:footnote>
  <w:footnote w:type="continuationSeparator" w:id="0">
    <w:p w:rsidR="008109D0" w:rsidRDefault="0081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5A" w:rsidRDefault="001A5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5A"/>
    <w:rsid w:val="00050B4B"/>
    <w:rsid w:val="001A5C5A"/>
    <w:rsid w:val="002D037E"/>
    <w:rsid w:val="006F6215"/>
    <w:rsid w:val="008109D0"/>
    <w:rsid w:val="00A6768E"/>
    <w:rsid w:val="00C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8B4E-7849-4930-B4AC-08601A99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uzei">
    <w:name w:val="Fu§zei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Standa">
    <w:name w:val="Stand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bstract">
    <w:name w:val="Abstract"/>
    <w:pPr>
      <w:spacing w:before="360"/>
      <w:ind w:left="288" w:right="288"/>
      <w:jc w:val="both"/>
    </w:pPr>
    <w:rPr>
      <w:rFonts w:cs="Arial Unicode MS"/>
      <w:color w:val="000000"/>
      <w:u w:color="000000"/>
      <w:lang w:val="en-US"/>
    </w:rPr>
  </w:style>
  <w:style w:type="paragraph" w:customStyle="1" w:styleId="Standard">
    <w:name w:val="Standard"/>
    <w:rPr>
      <w:rFonts w:ascii="Times" w:hAnsi="Times" w:cs="Arial Unicode MS"/>
      <w:color w:val="000000"/>
      <w:sz w:val="24"/>
      <w:szCs w:val="24"/>
      <w:u w:color="000000"/>
      <w:lang w:val="de-DE"/>
    </w:rPr>
  </w:style>
  <w:style w:type="character" w:customStyle="1" w:styleId="s1">
    <w:name w:val="s1"/>
    <w:basedOn w:val="Policepardfaut"/>
    <w:rsid w:val="00050B4B"/>
    <w:rPr>
      <w:rFonts w:ascii="Helvetica" w:hAnsi="Helvetica" w:hint="default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guy.berrin@inr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1879</Characters>
  <Application>Microsoft Office Word</Application>
  <DocSecurity>0</DocSecurity>
  <Lines>15</Lines>
  <Paragraphs>4</Paragraphs>
  <ScaleCrop>false</ScaleCrop>
  <Company>Insa de Toulouse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Régis FAURE</cp:lastModifiedBy>
  <cp:revision>4</cp:revision>
  <dcterms:created xsi:type="dcterms:W3CDTF">2019-04-15T08:16:00Z</dcterms:created>
  <dcterms:modified xsi:type="dcterms:W3CDTF">2019-04-15T10:43:00Z</dcterms:modified>
</cp:coreProperties>
</file>